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Pr="00DC24A6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1701"/>
        <w:gridCol w:w="2551"/>
        <w:gridCol w:w="1985"/>
        <w:gridCol w:w="2127"/>
      </w:tblGrid>
      <w:tr w:rsidR="00137C86" w:rsidRPr="00C92532" w14:paraId="670EA0D8" w14:textId="6AECF79C" w:rsidTr="00F42A37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141C833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F42A37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5200AB" w:rsidRPr="00C92532" w14:paraId="45582F88" w14:textId="0B25881C" w:rsidTr="006A0678">
        <w:tc>
          <w:tcPr>
            <w:tcW w:w="426" w:type="dxa"/>
            <w:vAlign w:val="center"/>
          </w:tcPr>
          <w:p w14:paraId="373D7442" w14:textId="65F230AE" w:rsidR="005200AB" w:rsidRPr="00817B43" w:rsidRDefault="005200AB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0E24159C" w:rsidR="005200AB" w:rsidRPr="00836C75" w:rsidRDefault="00836C75" w:rsidP="00D210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5200AB" w:rsidRPr="00836C75">
              <w:rPr>
                <w:rFonts w:ascii="Times New Roman" w:hAnsi="Times New Roman" w:cs="Times New Roman"/>
                <w:lang w:val="kk-KZ"/>
              </w:rPr>
              <w:t>«</w:t>
            </w:r>
            <w:r w:rsidRPr="00836C75"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  <w:t xml:space="preserve">Пайда салығының номиналды мөлшерлемесі                                     Қазақстан Республикасындағы корпоративтік табыс салығы </w:t>
            </w:r>
            <w:r w:rsidRPr="00836C75"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  <w:lastRenderedPageBreak/>
              <w:t>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</w:t>
            </w:r>
            <w:r w:rsidR="005200AB" w:rsidRPr="00836C75">
              <w:rPr>
                <w:rFonts w:ascii="Times New Roman" w:hAnsi="Times New Roman" w:cs="Times New Roman"/>
                <w:lang w:val="kk-KZ"/>
              </w:rPr>
              <w:t>»</w:t>
            </w:r>
            <w:r w:rsidR="00AC70D6" w:rsidRPr="00836C7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30524" w:rsidRPr="00836C75">
              <w:rPr>
                <w:rFonts w:ascii="Times New Roman" w:hAnsi="Times New Roman" w:cs="Times New Roman"/>
                <w:lang w:val="kk-KZ"/>
              </w:rPr>
              <w:t>Қазақстан Республикасы Қаржы министрлігінің бұйрық жобасы</w:t>
            </w:r>
          </w:p>
        </w:tc>
        <w:tc>
          <w:tcPr>
            <w:tcW w:w="1417" w:type="dxa"/>
            <w:vAlign w:val="center"/>
          </w:tcPr>
          <w:p w14:paraId="39C73499" w14:textId="158EE472" w:rsidR="00AC70D6" w:rsidRPr="00EA1ABD" w:rsidRDefault="00AC70D6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Қаржы Министрлігінің Мемлекеттік кірістер комитеті</w:t>
            </w:r>
          </w:p>
          <w:p w14:paraId="01B71CCE" w14:textId="1504F2A1" w:rsidR="00AC70D6" w:rsidRPr="00EA1ABD" w:rsidRDefault="00836C75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Ірі салық төлеушілер </w:t>
            </w:r>
            <w:r w:rsidR="00AC70D6" w:rsidRPr="00EA1ABD">
              <w:rPr>
                <w:rFonts w:ascii="Times New Roman" w:hAnsi="Times New Roman" w:cs="Times New Roman"/>
                <w:lang w:val="kk-KZ"/>
              </w:rPr>
              <w:t xml:space="preserve">департаментінің </w:t>
            </w:r>
            <w:r>
              <w:rPr>
                <w:rFonts w:ascii="Times New Roman" w:hAnsi="Times New Roman" w:cs="Times New Roman"/>
                <w:lang w:val="kk-KZ"/>
              </w:rPr>
              <w:t xml:space="preserve">Бейрезиденттерге салық салу </w:t>
            </w:r>
            <w:r w:rsidR="00A52D21" w:rsidRPr="00EA1ABD">
              <w:rPr>
                <w:rFonts w:ascii="Times New Roman" w:hAnsi="Times New Roman" w:cs="Times New Roman"/>
                <w:lang w:val="kk-KZ"/>
              </w:rPr>
              <w:t xml:space="preserve">басқармасының </w:t>
            </w:r>
            <w:r w:rsidR="00AC70D6" w:rsidRPr="00EA1ABD">
              <w:rPr>
                <w:rFonts w:ascii="Times New Roman" w:hAnsi="Times New Roman" w:cs="Times New Roman"/>
                <w:lang w:val="kk-KZ"/>
              </w:rPr>
              <w:t>бас сарапшысы</w:t>
            </w:r>
          </w:p>
          <w:p w14:paraId="5412FDA4" w14:textId="312A87BB" w:rsidR="003D691E" w:rsidRPr="00EA1ABD" w:rsidRDefault="00836C75" w:rsidP="00836C75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Касым Ожас Саржанулы </w:t>
            </w:r>
            <w:r w:rsidR="003079EF" w:rsidRPr="00EA1ABD">
              <w:rPr>
                <w:rFonts w:ascii="Times New Roman" w:hAnsi="Times New Roman" w:cs="Times New Roman"/>
                <w:lang w:val="kk-KZ"/>
              </w:rPr>
              <w:t>87</w:t>
            </w:r>
            <w:r w:rsidR="00C92532">
              <w:rPr>
                <w:rFonts w:ascii="Times New Roman" w:hAnsi="Times New Roman" w:cs="Times New Roman"/>
                <w:lang w:val="kk-KZ"/>
              </w:rPr>
              <w:t>058981582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19BA7F1F" w14:textId="0DD6515C" w:rsidR="005200AB" w:rsidRPr="00EA1ABD" w:rsidRDefault="00836C75" w:rsidP="00836C75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тамыз  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t>–</w:t>
            </w:r>
            <w:r>
              <w:rPr>
                <w:rFonts w:ascii="Times New Roman" w:hAnsi="Times New Roman" w:cs="Times New Roman"/>
                <w:lang w:val="kk-KZ"/>
              </w:rPr>
              <w:t>қыркүйек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br/>
            </w:r>
            <w:r w:rsidR="00676929" w:rsidRPr="00EA1ABD">
              <w:rPr>
                <w:rFonts w:ascii="Times New Roman" w:hAnsi="Times New Roman" w:cs="Times New Roman"/>
                <w:lang w:val="kk-KZ"/>
              </w:rPr>
              <w:t>2025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76929" w:rsidRPr="00EA1ABD">
              <w:rPr>
                <w:rFonts w:ascii="Times New Roman" w:hAnsi="Times New Roman" w:cs="Times New Roman"/>
                <w:lang w:val="kk-KZ"/>
              </w:rPr>
              <w:t>ж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t>ыл</w:t>
            </w:r>
          </w:p>
        </w:tc>
        <w:tc>
          <w:tcPr>
            <w:tcW w:w="1843" w:type="dxa"/>
            <w:vAlign w:val="center"/>
          </w:tcPr>
          <w:p w14:paraId="41C1E758" w14:textId="5DD71369" w:rsidR="00A52D21" w:rsidRPr="00836C75" w:rsidRDefault="00E00442" w:rsidP="00836C75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t>Қазақстан Республикасының жаңа Салық кодексін іске асыру мақсатында</w:t>
            </w:r>
            <w:r w:rsidR="003079EF"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36C75" w:rsidRPr="00836C75"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  <w:t xml:space="preserve">Пайда салығының </w:t>
            </w:r>
            <w:r w:rsidR="00836C75" w:rsidRPr="00836C75"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  <w:lastRenderedPageBreak/>
              <w:t>номиналды мөлшерлемесі                                     Қазақстан Республикасындағы корпоративтік табыс салығы 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</w:t>
            </w:r>
            <w:r w:rsidR="00836C75"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  <w:t>не енген елдердің тізімін бекітеді</w:t>
            </w:r>
            <w:r w:rsidR="00016C8E" w:rsidRPr="00EA1ABD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C7D08B4" w14:textId="755A87FB" w:rsidR="00E567C4" w:rsidRPr="00EA1ABD" w:rsidRDefault="00E567C4" w:rsidP="003079EF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6AD80B60" w14:textId="77777777" w:rsidR="0000084E" w:rsidRPr="00EA1ABD" w:rsidRDefault="0000084E" w:rsidP="003079EF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1FB2363F" w14:textId="4097B18D" w:rsidR="0000084E" w:rsidRPr="00EA1ABD" w:rsidRDefault="0000084E" w:rsidP="003079E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1A1020EB" w14:textId="41C2F769" w:rsidR="005200AB" w:rsidRPr="00EA1ABD" w:rsidRDefault="005200AB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lastRenderedPageBreak/>
              <w:t xml:space="preserve">Қазақстан </w:t>
            </w:r>
            <w:r w:rsidR="007620C8" w:rsidRPr="00EA1ABD">
              <w:rPr>
                <w:rFonts w:ascii="Times New Roman" w:hAnsi="Times New Roman" w:cs="Times New Roman"/>
                <w:lang w:val="kk-KZ"/>
              </w:rPr>
              <w:t xml:space="preserve">Республикасы Салық кодексінің 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br/>
            </w:r>
            <w:r w:rsidR="00836C75" w:rsidRPr="00836C75">
              <w:rPr>
                <w:rFonts w:ascii="Times New Roman" w:hAnsi="Times New Roman" w:cs="Times New Roman"/>
                <w:lang w:val="kk-KZ"/>
              </w:rPr>
              <w:t xml:space="preserve">332-бабы </w:t>
            </w:r>
            <w:r w:rsidR="00836C75">
              <w:rPr>
                <w:rFonts w:ascii="Times New Roman" w:hAnsi="Times New Roman" w:cs="Times New Roman"/>
                <w:lang w:val="kk-KZ"/>
              </w:rPr>
              <w:t xml:space="preserve">                   </w:t>
            </w:r>
            <w:r w:rsidR="00836C75" w:rsidRPr="00836C75">
              <w:rPr>
                <w:rFonts w:ascii="Times New Roman" w:hAnsi="Times New Roman" w:cs="Times New Roman"/>
                <w:lang w:val="kk-KZ"/>
              </w:rPr>
              <w:t xml:space="preserve">1-тармағының 1) </w:t>
            </w:r>
            <w:r w:rsidR="00836C75" w:rsidRPr="00836C75">
              <w:rPr>
                <w:rFonts w:ascii="Times New Roman" w:hAnsi="Times New Roman" w:cs="Times New Roman"/>
                <w:lang w:val="kk-KZ"/>
              </w:rPr>
              <w:lastRenderedPageBreak/>
              <w:t>тармақшасына</w:t>
            </w:r>
            <w:r w:rsidR="007620C8"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A1ABD">
              <w:rPr>
                <w:rFonts w:ascii="Times New Roman" w:hAnsi="Times New Roman" w:cs="Times New Roman"/>
                <w:lang w:val="kk-KZ"/>
              </w:rPr>
              <w:t>сәйкес</w:t>
            </w:r>
          </w:p>
          <w:p w14:paraId="1F861E3F" w14:textId="53AD6298" w:rsidR="00E567C4" w:rsidRPr="00EA1ABD" w:rsidRDefault="00E567C4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vAlign w:val="center"/>
          </w:tcPr>
          <w:p w14:paraId="3C56E68D" w14:textId="77777777" w:rsidR="00EA1ABD" w:rsidRPr="00EA1ABD" w:rsidRDefault="00F42A37" w:rsidP="00EA1AB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b/>
                <w:lang w:val="kk-KZ"/>
              </w:rPr>
              <w:lastRenderedPageBreak/>
              <w:t>Жобаның мақсаты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A1ABD" w:rsidRPr="00EA1ABD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14:paraId="61E81E2D" w14:textId="4B9D92B0" w:rsidR="00A52D21" w:rsidRPr="00EA1ABD" w:rsidRDefault="00EA1ABD" w:rsidP="00016C8E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836C75" w:rsidRPr="00836C75">
              <w:rPr>
                <w:rFonts w:ascii="Times New Roman" w:hAnsi="Times New Roman" w:cs="Times New Roman"/>
                <w:lang w:val="kk-KZ"/>
              </w:rPr>
              <w:t>Жоба Қазақстан Республикасы Салық кодексінің 332-бабы                                       1-тармағының 1) тармақшасын іске асыру мақсатында әзірленді.</w:t>
            </w:r>
            <w:r w:rsid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, сондай-ақ </w:t>
            </w:r>
            <w:r w:rsidR="00B4540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Пайда </w:t>
            </w:r>
            <w:r w:rsidR="00B4540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lastRenderedPageBreak/>
              <w:t xml:space="preserve">салығының </w:t>
            </w:r>
            <w:r w:rsidR="00836C75" w:rsidRP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номиналды мөлшерлемесі                                     Қазақстан Республикасындағы корпоративтік табыс салығы 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</w:t>
            </w:r>
            <w:r w:rsid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не енген елдердің тізімін бекітеді</w:t>
            </w:r>
            <w:r w:rsidR="00A52D21" w:rsidRPr="00EA1ABD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C435ED9" w14:textId="2108A9DF" w:rsidR="00F42A37" w:rsidRPr="00836C75" w:rsidRDefault="00A52D21" w:rsidP="00F42A37">
            <w:pPr>
              <w:jc w:val="both"/>
              <w:rPr>
                <w:rFonts w:ascii="Times New Roman" w:hAnsi="Times New Roman" w:cs="Times New Roman"/>
                <w:sz w:val="18"/>
                <w:lang w:val="kk-KZ"/>
              </w:rPr>
            </w:pPr>
            <w:r w:rsidRPr="00EA1ABD">
              <w:rPr>
                <w:rFonts w:ascii="Times New Roman" w:hAnsi="Times New Roman" w:cs="Times New Roman"/>
                <w:color w:val="000000"/>
                <w:lang w:val="kk-KZ"/>
              </w:rPr>
              <w:t xml:space="preserve">    </w:t>
            </w:r>
            <w:r w:rsidRPr="00EA1ABD">
              <w:rPr>
                <w:rFonts w:ascii="Times New Roman" w:hAnsi="Times New Roman" w:cs="Times New Roman"/>
                <w:b/>
                <w:lang w:val="kk-KZ"/>
              </w:rPr>
              <w:t>Күтілетін нәтиже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 – </w:t>
            </w:r>
            <w:r w:rsidR="00836C75" w:rsidRPr="00836C75">
              <w:rPr>
                <w:rFonts w:ascii="Times New Roman" w:hAnsi="Times New Roman"/>
                <w:szCs w:val="28"/>
                <w:lang w:val="kk-KZ"/>
              </w:rPr>
              <w:t xml:space="preserve">салық төлеушілер </w:t>
            </w:r>
            <w:r w:rsidR="00836C75" w:rsidRPr="00836C75">
              <w:rPr>
                <w:rFonts w:ascii="Times New Roman" w:eastAsia="Calibri" w:hAnsi="Times New Roman" w:cs="Times New Roman"/>
                <w:szCs w:val="28"/>
                <w:lang w:val="kk-KZ"/>
              </w:rPr>
              <w:t xml:space="preserve">мен Мемлекеттік кірістер органдары арасындағы сенім дәрежесін жақсартуға, </w:t>
            </w:r>
            <w:r w:rsidR="00836C75" w:rsidRPr="00836C75">
              <w:rPr>
                <w:rFonts w:ascii="Times New Roman" w:eastAsia="Calibri" w:hAnsi="Times New Roman" w:cs="Times New Roman"/>
                <w:b/>
                <w:szCs w:val="28"/>
                <w:lang w:val="kk-KZ"/>
              </w:rPr>
              <w:t>бақыланатын шетелдік компаниялардың әкімшілендіруді жетілдіруге,</w:t>
            </w:r>
            <w:r w:rsidR="00836C75" w:rsidRPr="00836C75">
              <w:rPr>
                <w:rFonts w:ascii="Times New Roman" w:eastAsia="Calibri" w:hAnsi="Times New Roman" w:cs="Times New Roman"/>
                <w:szCs w:val="28"/>
                <w:lang w:val="kk-KZ"/>
              </w:rPr>
              <w:t xml:space="preserve"> салық төлеушінің қызметіне шамадан тыс араласуды болдырмауға, сондай-ақ салық төлеушілерді салық міндеттемелерін өз бетінше орындауға ынталандыруға </w:t>
            </w:r>
            <w:r w:rsidR="00836C75" w:rsidRPr="00836C75">
              <w:rPr>
                <w:rFonts w:ascii="Times New Roman" w:eastAsia="Calibri" w:hAnsi="Times New Roman" w:cs="Times New Roman"/>
                <w:szCs w:val="28"/>
                <w:lang w:val="kk-KZ"/>
              </w:rPr>
              <w:lastRenderedPageBreak/>
              <w:t>бағытталған, нәтижесінде көлеңкелі экономика үлесінің қысқаруына әкеп соғады</w:t>
            </w:r>
            <w:r w:rsidR="00836C75">
              <w:rPr>
                <w:rFonts w:ascii="Times New Roman" w:eastAsia="Calibri" w:hAnsi="Times New Roman" w:cs="Times New Roman"/>
                <w:szCs w:val="28"/>
                <w:lang w:val="kk-KZ"/>
              </w:rPr>
              <w:t>.</w:t>
            </w:r>
          </w:p>
          <w:p w14:paraId="120C8F08" w14:textId="17B4E667" w:rsidR="0000084E" w:rsidRPr="00836C75" w:rsidRDefault="00F42A37" w:rsidP="0000084E">
            <w:pPr>
              <w:jc w:val="both"/>
              <w:rPr>
                <w:rFonts w:ascii="Times New Roman" w:hAnsi="Times New Roman" w:cs="Times New Roman"/>
                <w:sz w:val="18"/>
                <w:lang w:val="kk-KZ"/>
              </w:rPr>
            </w:pPr>
            <w:r w:rsidRPr="00836C75">
              <w:rPr>
                <w:rFonts w:ascii="Times New Roman" w:hAnsi="Times New Roman" w:cs="Times New Roman"/>
                <w:sz w:val="18"/>
                <w:lang w:val="kk-KZ"/>
              </w:rPr>
              <w:t xml:space="preserve">    </w:t>
            </w:r>
          </w:p>
          <w:p w14:paraId="483B59BD" w14:textId="66316F1E" w:rsidR="0000084E" w:rsidRPr="00EA1ABD" w:rsidRDefault="0000084E" w:rsidP="003079E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5D05ABC8" w14:textId="241B9E73" w:rsidR="0062087E" w:rsidRPr="00EA1ABD" w:rsidRDefault="001067A0" w:rsidP="00EA1AB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lastRenderedPageBreak/>
              <w:t xml:space="preserve">Бұл НҚА жобасы </w:t>
            </w:r>
            <w:r w:rsidR="00836C75" w:rsidRP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Пайда салығының номиналды мөлшерлемесі                                     Қазақстан Республикасындағы корпоративтік табыс салығы </w:t>
            </w:r>
            <w:r w:rsidR="00836C75" w:rsidRP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lastRenderedPageBreak/>
              <w:t>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</w:t>
            </w:r>
            <w:r w:rsid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 енген елдердің тізімін бекіту</w:t>
            </w:r>
            <w:r w:rsidR="00016C8E"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E4601" w:rsidRPr="00EA1ABD">
              <w:rPr>
                <w:rFonts w:ascii="Times New Roman" w:hAnsi="Times New Roman" w:cs="Times New Roman"/>
                <w:color w:val="000000"/>
                <w:lang w:val="kk-KZ"/>
              </w:rPr>
              <w:t>үшін әзірленді, о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сыған байланысты әлеуметтік-экономикалық, құқықтық және өзге де </w:t>
            </w:r>
            <w:r w:rsidRPr="00EA1ABD">
              <w:rPr>
                <w:rFonts w:ascii="Times New Roman" w:hAnsi="Times New Roman" w:cs="Times New Roman"/>
                <w:b/>
                <w:lang w:val="kk-KZ"/>
              </w:rPr>
              <w:t>салдарлар жоқ</w:t>
            </w:r>
            <w:r w:rsidRPr="00EA1ABD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54C2726C" w14:textId="77777777" w:rsidR="0062087E" w:rsidRPr="00EA1ABD" w:rsidRDefault="0062087E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70674893" w14:textId="02821DEB" w:rsidR="0062087E" w:rsidRPr="00EA1ABD" w:rsidRDefault="0062087E" w:rsidP="00D23B9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3EA7DEC" w14:textId="6182DE11" w:rsidR="006A43A7" w:rsidRPr="00EA1ABD" w:rsidRDefault="006A43A7" w:rsidP="00AA2413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EA1ABD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4BA1E00C" w14:textId="4BFA44DB" w:rsidR="00AA2413" w:rsidRPr="00EA1ABD" w:rsidRDefault="00620C64" w:rsidP="00620C64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«</w:t>
            </w:r>
            <w:r w:rsidR="00836C75" w:rsidRP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Пайда салығының номиналды мөлшерлемесі                                     Қазақстан Республикасындағы корпоративтік табыс салығы </w:t>
            </w:r>
            <w:r w:rsidR="00836C75" w:rsidRP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lastRenderedPageBreak/>
              <w:t xml:space="preserve">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 </w:t>
            </w:r>
            <w:r w:rsidR="00836C75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енген елдердің тізімін бекіту туралы</w:t>
            </w:r>
            <w:r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» б</w:t>
            </w:r>
            <w:r w:rsidR="00AA2413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ұйрық жобасы </w:t>
            </w:r>
            <w:r w:rsidR="001E4601" w:rsidRPr="00EA1ABD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="00AA2413" w:rsidRPr="00EA1ABD">
              <w:rPr>
                <w:rFonts w:ascii="Times New Roman" w:eastAsia="Times New Roman" w:hAnsi="Times New Roman" w:cs="Times New Roman"/>
                <w:lang w:val="kk-KZ"/>
              </w:rPr>
              <w:t>Салық кодексін іске асыруға арналған құқықтық актілер</w:t>
            </w:r>
            <w:r w:rsidR="001E4601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тізбесін</w:t>
            </w:r>
            <w:r w:rsidR="00AA2413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1E4601" w:rsidRPr="00EA1ABD">
              <w:rPr>
                <w:rFonts w:ascii="Times New Roman" w:eastAsia="Times New Roman" w:hAnsi="Times New Roman" w:cs="Times New Roman"/>
                <w:lang w:val="kk-KZ"/>
              </w:rPr>
              <w:t>бекіту</w:t>
            </w:r>
            <w:r w:rsidR="00AA2413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туралы</w:t>
            </w:r>
            <w:r w:rsidR="001E4601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» </w:t>
            </w:r>
            <w:r w:rsidR="001E4601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Қазақстан Республикасының </w:t>
            </w:r>
            <w:r w:rsidR="00AA2413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Премьер-Министр</w:t>
            </w:r>
            <w:r w:rsidR="001E4601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>інің</w:t>
            </w:r>
            <w:r w:rsidR="00AA2413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1E4601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>өкімін</w:t>
            </w:r>
            <w:r w:rsidR="00AA2413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орындау мақсатында әзірленді</w:t>
            </w:r>
            <w:r w:rsidR="005E1D96">
              <w:rPr>
                <w:rFonts w:ascii="Times New Roman" w:eastAsia="Times New Roman" w:hAnsi="Times New Roman" w:cs="Times New Roman"/>
                <w:lang w:val="kk-KZ"/>
              </w:rPr>
              <w:t>, нәтижесінде бюджетке төленетін салық сомалары артуына әкеледі.</w:t>
            </w:r>
          </w:p>
          <w:p w14:paraId="2E43DF90" w14:textId="120CFD0E" w:rsidR="001E4601" w:rsidRPr="00EA1ABD" w:rsidRDefault="001E4601" w:rsidP="00EA1ABD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Аталған жобаны орналастыру мерзімі кейінге </w:t>
            </w:r>
            <w:r w:rsidRPr="00EA1ABD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қалдырылған жағдайда,</w:t>
            </w:r>
            <w:r w:rsidR="006A43A7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жоғарыда </w:t>
            </w:r>
            <w:r w:rsidR="006A43A7"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t>көрсетілген өкімді орындау мерзімі бұзылуы мүкін</w:t>
            </w:r>
            <w:r w:rsidR="006A43A7"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және</w:t>
            </w:r>
            <w:r w:rsidRPr="00EA1ABD">
              <w:rPr>
                <w:rFonts w:ascii="Times New Roman" w:eastAsia="Times New Roman" w:hAnsi="Times New Roman" w:cs="Times New Roman"/>
                <w:lang w:val="kk-KZ"/>
              </w:rPr>
              <w:t xml:space="preserve"> кірістерді жасыру фактілері артады, бұл көлеңкелі экономиканың үлесінің ұлғаюына әкелуі мүмкін.</w:t>
            </w:r>
          </w:p>
          <w:p w14:paraId="60F602D5" w14:textId="77777777" w:rsidR="001E4601" w:rsidRPr="00EA1ABD" w:rsidRDefault="001E4601" w:rsidP="00AA2413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39E35E35" w14:textId="60B242ED" w:rsidR="005200AB" w:rsidRPr="00EA1ABD" w:rsidRDefault="005200AB" w:rsidP="003079EF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</w:tbl>
    <w:p w14:paraId="17437213" w14:textId="41738FBF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C55DE" w14:textId="77777777" w:rsidR="00A60667" w:rsidRDefault="00A60667" w:rsidP="00620C64">
      <w:pPr>
        <w:spacing w:after="0" w:line="240" w:lineRule="auto"/>
      </w:pPr>
      <w:r>
        <w:separator/>
      </w:r>
    </w:p>
  </w:endnote>
  <w:endnote w:type="continuationSeparator" w:id="0">
    <w:p w14:paraId="7D0E8757" w14:textId="77777777" w:rsidR="00A60667" w:rsidRDefault="00A60667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BA9C0" w14:textId="77777777" w:rsidR="00A60667" w:rsidRDefault="00A60667" w:rsidP="00620C64">
      <w:pPr>
        <w:spacing w:after="0" w:line="240" w:lineRule="auto"/>
      </w:pPr>
      <w:r>
        <w:separator/>
      </w:r>
    </w:p>
  </w:footnote>
  <w:footnote w:type="continuationSeparator" w:id="0">
    <w:p w14:paraId="2A43B3B8" w14:textId="77777777" w:rsidR="00A60667" w:rsidRDefault="00A60667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10B69FAE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5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F30E1"/>
    <w:rsid w:val="000F6DA6"/>
    <w:rsid w:val="001067A0"/>
    <w:rsid w:val="00111E18"/>
    <w:rsid w:val="0011467A"/>
    <w:rsid w:val="0013512C"/>
    <w:rsid w:val="00137C86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47D2"/>
    <w:rsid w:val="00286BC3"/>
    <w:rsid w:val="002B1F19"/>
    <w:rsid w:val="002C7487"/>
    <w:rsid w:val="003079EF"/>
    <w:rsid w:val="00324073"/>
    <w:rsid w:val="00326888"/>
    <w:rsid w:val="0034688B"/>
    <w:rsid w:val="003576D1"/>
    <w:rsid w:val="003D4FB1"/>
    <w:rsid w:val="003D691E"/>
    <w:rsid w:val="00452C04"/>
    <w:rsid w:val="004641EA"/>
    <w:rsid w:val="004716D7"/>
    <w:rsid w:val="00473061"/>
    <w:rsid w:val="00485BD7"/>
    <w:rsid w:val="004B6E7D"/>
    <w:rsid w:val="004C0F23"/>
    <w:rsid w:val="004C16D3"/>
    <w:rsid w:val="004F3AD6"/>
    <w:rsid w:val="005200AB"/>
    <w:rsid w:val="00523D8A"/>
    <w:rsid w:val="005452E4"/>
    <w:rsid w:val="00550F02"/>
    <w:rsid w:val="00567A4F"/>
    <w:rsid w:val="005B2682"/>
    <w:rsid w:val="005C70F6"/>
    <w:rsid w:val="005E1D96"/>
    <w:rsid w:val="005E2481"/>
    <w:rsid w:val="00612D06"/>
    <w:rsid w:val="0062087E"/>
    <w:rsid w:val="00620C64"/>
    <w:rsid w:val="00676929"/>
    <w:rsid w:val="006A0678"/>
    <w:rsid w:val="006A372F"/>
    <w:rsid w:val="006A43A7"/>
    <w:rsid w:val="006D7A01"/>
    <w:rsid w:val="006E3749"/>
    <w:rsid w:val="00704B76"/>
    <w:rsid w:val="00713C31"/>
    <w:rsid w:val="00727C4E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36C75"/>
    <w:rsid w:val="00864EC8"/>
    <w:rsid w:val="008A2587"/>
    <w:rsid w:val="008A6F87"/>
    <w:rsid w:val="008E1B42"/>
    <w:rsid w:val="00906985"/>
    <w:rsid w:val="00932161"/>
    <w:rsid w:val="00993C68"/>
    <w:rsid w:val="009C3913"/>
    <w:rsid w:val="009E58C7"/>
    <w:rsid w:val="00A52D21"/>
    <w:rsid w:val="00A54555"/>
    <w:rsid w:val="00A60667"/>
    <w:rsid w:val="00A779AA"/>
    <w:rsid w:val="00A80AEC"/>
    <w:rsid w:val="00A9631F"/>
    <w:rsid w:val="00AA2413"/>
    <w:rsid w:val="00AC70D6"/>
    <w:rsid w:val="00AD370F"/>
    <w:rsid w:val="00AD5739"/>
    <w:rsid w:val="00AE44BC"/>
    <w:rsid w:val="00AE7AA1"/>
    <w:rsid w:val="00B007AD"/>
    <w:rsid w:val="00B05C90"/>
    <w:rsid w:val="00B16F4C"/>
    <w:rsid w:val="00B30365"/>
    <w:rsid w:val="00B40E7A"/>
    <w:rsid w:val="00B45405"/>
    <w:rsid w:val="00B56259"/>
    <w:rsid w:val="00B759E8"/>
    <w:rsid w:val="00BC74A7"/>
    <w:rsid w:val="00BF313F"/>
    <w:rsid w:val="00C70B2E"/>
    <w:rsid w:val="00C92532"/>
    <w:rsid w:val="00C9573E"/>
    <w:rsid w:val="00CE0300"/>
    <w:rsid w:val="00D01437"/>
    <w:rsid w:val="00D21026"/>
    <w:rsid w:val="00D23B94"/>
    <w:rsid w:val="00D3051E"/>
    <w:rsid w:val="00D30524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7096"/>
    <w:rsid w:val="00EA176B"/>
    <w:rsid w:val="00EA1ABD"/>
    <w:rsid w:val="00EC1041"/>
    <w:rsid w:val="00EE2DCC"/>
    <w:rsid w:val="00F02768"/>
    <w:rsid w:val="00F23768"/>
    <w:rsid w:val="00F33F7B"/>
    <w:rsid w:val="00F42A37"/>
    <w:rsid w:val="00F44F3D"/>
    <w:rsid w:val="00F5342D"/>
    <w:rsid w:val="00F54792"/>
    <w:rsid w:val="00F6027E"/>
    <w:rsid w:val="00F665AB"/>
    <w:rsid w:val="00F6766B"/>
    <w:rsid w:val="00F746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3D715DF2-F465-4FF4-BBF0-F2FBACCE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5140C-8D24-42C5-A339-4BCAD0FD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Олжас Қасым Саржанұлы</cp:lastModifiedBy>
  <cp:revision>5</cp:revision>
  <dcterms:created xsi:type="dcterms:W3CDTF">2025-08-05T12:45:00Z</dcterms:created>
  <dcterms:modified xsi:type="dcterms:W3CDTF">2025-09-02T10:13:00Z</dcterms:modified>
</cp:coreProperties>
</file>